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Periodic Table </w:t>
      </w:r>
      <w:r>
        <w:rPr>
          <w:rFonts w:ascii="Liberation Sans" w:hAnsi="Liberation Sans"/>
          <w:b/>
          <w:bCs/>
          <w:sz w:val="36"/>
          <w:szCs w:val="36"/>
        </w:rPr>
        <w:t>Quiz</w:t>
      </w:r>
      <w:r>
        <w:rPr>
          <w:rFonts w:ascii="Liberation Sans" w:hAnsi="Liberation Sans"/>
          <w:b/>
          <w:bCs/>
          <w:sz w:val="36"/>
          <w:szCs w:val="36"/>
        </w:rPr>
        <w:t xml:space="preserve"> Review – General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general properties of nonmetallic elements.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electron sea theory of bonding?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are metalloids used in computer chips?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don’t elements in the same period have similar properties?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valence electrons do the halogens have?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names for each of the following groups of the periodic table?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2</w:t>
      </w:r>
    </w:p>
    <w:p>
      <w:pPr>
        <w:pStyle w:val="Normal"/>
        <w:ind w:left="360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18</w:t>
      </w:r>
    </w:p>
    <w:p>
      <w:pPr>
        <w:pStyle w:val="Normal"/>
        <w:ind w:left="360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5f elements (89-102)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the atomic radius of elements increases as you move down a group in the periodic table.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what the octet rule has to do with electronegativity and ionization energy.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periodic trends for ionization energy and electronegativity differ in one way.  What is this, and why does it take place?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54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f672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LibreOffice/24.2.0.3$MacOSX_X86_64 LibreOffice_project/da48488a73ddd66ea24cf16bbc4f7b9c08e9bea1</Application>
  <AppVersion>15.0000</AppVersion>
  <Pages>2</Pages>
  <Words>131</Words>
  <Characters>627</Characters>
  <CharactersWithSpaces>737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2023-11-09T14:43:00Z</dcterms:created>
  <dc:creator>Ian Guch</dc:creator>
  <dc:description/>
  <dc:language>en-US</dc:language>
  <cp:lastModifiedBy/>
  <dcterms:modified xsi:type="dcterms:W3CDTF">2024-10-29T07:06:26Z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